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ind w:firstLine="643"/>
      </w:pPr>
      <w:r>
        <w:rPr>
          <w:rFonts w:hint="eastAsia"/>
        </w:rPr>
        <w:t>个人年终总结</w:t>
      </w:r>
    </w:p>
    <w:p>
      <w:pPr>
        <w:pStyle w:val="2"/>
      </w:pPr>
      <w:r>
        <w:rPr>
          <w:rFonts w:hint="eastAsia"/>
          <w:lang w:val="en-US" w:eastAsia="zh-CN"/>
        </w:rPr>
        <w:t>航空显示系统系统验证标准</w:t>
      </w:r>
    </w:p>
    <w:p>
      <w:pPr>
        <w:rPr>
          <w:rFonts w:hint="default"/>
          <w:lang w:val="en-US"/>
        </w:rPr>
      </w:pPr>
      <w:r>
        <w:rPr>
          <w:rFonts w:hint="eastAsia"/>
          <w:lang w:val="en-US" w:eastAsia="zh-CN"/>
        </w:rPr>
        <w:t>航空显示系统验证过程涉及软硬件的产品验证以及系统综合的集成验证，验证过程的输入主要有捕获的需求、软硬件设计资料、研制安全等级要求等。</w:t>
      </w:r>
    </w:p>
    <w:p>
      <w:pPr>
        <w:pStyle w:val="9"/>
        <w:ind w:firstLine="0" w:firstLineChars="0"/>
        <w:jc w:val="center"/>
      </w:pPr>
      <w:bookmarkStart w:id="0" w:name="_Hlk81575197"/>
      <w:r>
        <w:object>
          <v:shape id="_x0000_i1025" o:spt="75" type="#_x0000_t75" style="height:201.3pt;width:367.5pt;" o:ole="t" filled="f" o:preferrelative="t" stroked="f" coordsize="21600,21600">
            <v:path/>
            <v:fill on="f" focussize="0,0"/>
            <v:stroke on="f"/>
            <v:imagedata r:id="rId13" o:title=""/>
            <o:lock v:ext="edit" aspectratio="t"/>
            <w10:wrap type="none"/>
            <w10:anchorlock/>
          </v:shape>
          <o:OLEObject Type="Embed" ProgID="Visio.Drawing.15" ShapeID="_x0000_i1025" DrawAspect="Content" ObjectID="_1468075725" r:id="rId12">
            <o:LockedField>false</o:LockedField>
          </o:OLEObject>
        </w:object>
      </w:r>
      <w:bookmarkEnd w:id="0"/>
    </w:p>
    <w:p>
      <w:pPr>
        <w:pStyle w:val="15"/>
        <w:bidi w:val="0"/>
      </w:pPr>
      <w:bookmarkStart w:id="1" w:name="_Toc81579410"/>
      <w:bookmarkStart w:id="2" w:name="_Hlk81575214"/>
      <w:bookmarkStart w:id="3" w:name="_Toc82589018"/>
      <w:r>
        <w:rPr>
          <w:rFonts w:hint="eastAsia"/>
        </w:rPr>
        <w:t>A</w:t>
      </w:r>
      <w:r>
        <w:t xml:space="preserve">RP4754A </w:t>
      </w:r>
      <w:r>
        <w:rPr>
          <w:rFonts w:hint="eastAsia"/>
        </w:rPr>
        <w:t>系统验证过程模型</w:t>
      </w:r>
      <w:bookmarkEnd w:id="1"/>
      <w:bookmarkEnd w:id="2"/>
      <w:bookmarkEnd w:id="3"/>
    </w:p>
    <w:p>
      <w:pPr>
        <w:pStyle w:val="2"/>
        <w:bidi w:val="0"/>
      </w:pPr>
      <w:r>
        <w:rPr>
          <w:rFonts w:hint="eastAsia"/>
          <w:lang w:val="en-US" w:eastAsia="zh-CN"/>
        </w:rPr>
        <w:t>CDS显示系统项目介绍</w:t>
      </w:r>
    </w:p>
    <w:p>
      <w:pPr>
        <w:rPr>
          <w:rFonts w:hint="default" w:eastAsia="宋体"/>
          <w:lang w:val="en-US" w:eastAsia="zh-CN"/>
        </w:rPr>
      </w:pPr>
      <w:r>
        <w:rPr>
          <w:rFonts w:hint="eastAsia"/>
          <w:lang w:val="en-US" w:eastAsia="zh-CN"/>
        </w:rPr>
        <w:t>C919飞机座舱显示系统的构成主要包括CP控制面板、HDD下显IDU、HUD上显投影显示、还有部分驻留在IMA平台上的基于A661的显示软件。</w:t>
      </w:r>
    </w:p>
    <w:p>
      <w:pPr>
        <w:jc w:val="center"/>
      </w:pPr>
      <w:r>
        <w:drawing>
          <wp:inline distT="0" distB="0" distL="114300" distR="114300">
            <wp:extent cx="4363085" cy="2849880"/>
            <wp:effectExtent l="0" t="0" r="0" b="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4"/>
                    <a:stretch>
                      <a:fillRect/>
                    </a:stretch>
                  </pic:blipFill>
                  <pic:spPr>
                    <a:xfrm>
                      <a:off x="0" y="0"/>
                      <a:ext cx="4363085" cy="2849880"/>
                    </a:xfrm>
                    <a:prstGeom prst="rect">
                      <a:avLst/>
                    </a:prstGeom>
                    <a:noFill/>
                    <a:ln>
                      <a:noFill/>
                    </a:ln>
                  </pic:spPr>
                </pic:pic>
              </a:graphicData>
            </a:graphic>
          </wp:inline>
        </w:drawing>
      </w:r>
    </w:p>
    <w:p>
      <w:pPr>
        <w:pStyle w:val="15"/>
        <w:spacing w:after="156"/>
      </w:pPr>
      <w:r>
        <w:rPr>
          <w:rFonts w:hint="eastAsia"/>
          <w:lang w:val="en-US" w:eastAsia="zh-CN"/>
        </w:rPr>
        <w:t>显示系统简介</w:t>
      </w:r>
    </w:p>
    <w:p>
      <w:pPr>
        <w:bidi w:val="0"/>
        <w:rPr>
          <w:rFonts w:hint="default"/>
          <w:lang w:val="en-US"/>
        </w:rPr>
      </w:pPr>
      <w:r>
        <w:rPr>
          <w:rFonts w:hint="eastAsia"/>
          <w:lang w:val="en-US" w:eastAsia="zh-CN"/>
        </w:rPr>
        <w:t>显示系统的需求的主要来源商飞的显示人机接口需求、适航审定技术、航电系统包、成员系统规范标准、显示产品规范、通用技术标准等；由此衍生系统需求、产品需求、设计需求。</w:t>
      </w:r>
    </w:p>
    <w:p>
      <w:r>
        <w:drawing>
          <wp:inline distT="0" distB="0" distL="114300" distR="114300">
            <wp:extent cx="5269230" cy="2358390"/>
            <wp:effectExtent l="0" t="0" r="9525" b="571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5"/>
                    <a:stretch>
                      <a:fillRect/>
                    </a:stretch>
                  </pic:blipFill>
                  <pic:spPr>
                    <a:xfrm>
                      <a:off x="0" y="0"/>
                      <a:ext cx="5269230" cy="2358390"/>
                    </a:xfrm>
                    <a:prstGeom prst="rect">
                      <a:avLst/>
                    </a:prstGeom>
                    <a:noFill/>
                    <a:ln>
                      <a:noFill/>
                    </a:ln>
                  </pic:spPr>
                </pic:pic>
              </a:graphicData>
            </a:graphic>
          </wp:inline>
        </w:drawing>
      </w:r>
    </w:p>
    <w:p>
      <w:pPr>
        <w:pStyle w:val="15"/>
        <w:spacing w:after="156"/>
      </w:pPr>
      <w:r>
        <w:rPr>
          <w:rFonts w:hint="eastAsia"/>
          <w:lang w:val="en-US" w:eastAsia="zh-CN"/>
        </w:rPr>
        <w:t>需求规范树</w:t>
      </w:r>
    </w:p>
    <w:p>
      <w:pPr>
        <w:bidi w:val="0"/>
        <w:rPr>
          <w:rFonts w:hint="default"/>
          <w:lang w:val="en-US" w:eastAsia="zh-CN"/>
        </w:rPr>
      </w:pPr>
      <w:r>
        <w:rPr>
          <w:rFonts w:hint="eastAsia"/>
          <w:lang w:val="en-US" w:eastAsia="zh-CN"/>
        </w:rPr>
        <w:t>显示系统隶属ATA31，其与其他外系统通过IMA的CCR资源互联或者信号直连，基于AFDX交换式网络、A429直连网络和A825级联网络进行数据交互。系统集成验证过程中由于环境的限制，外系统的激励信号都是采用模拟仿真的数据，所以在实际测试过程中需要了解外系统的数据类型以及发送接收的方式，快速定位激励信号接口。</w:t>
      </w:r>
    </w:p>
    <w:p>
      <w:pPr>
        <w:jc w:val="center"/>
      </w:pPr>
      <w:r>
        <w:drawing>
          <wp:inline distT="0" distB="0" distL="114300" distR="114300">
            <wp:extent cx="2853690" cy="2095500"/>
            <wp:effectExtent l="0" t="0" r="381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6"/>
                    <a:stretch>
                      <a:fillRect/>
                    </a:stretch>
                  </pic:blipFill>
                  <pic:spPr>
                    <a:xfrm>
                      <a:off x="0" y="0"/>
                      <a:ext cx="2853690" cy="2095500"/>
                    </a:xfrm>
                    <a:prstGeom prst="rect">
                      <a:avLst/>
                    </a:prstGeom>
                    <a:noFill/>
                    <a:ln>
                      <a:noFill/>
                    </a:ln>
                  </pic:spPr>
                </pic:pic>
              </a:graphicData>
            </a:graphic>
          </wp:inline>
        </w:drawing>
      </w:r>
    </w:p>
    <w:p>
      <w:pPr>
        <w:pStyle w:val="15"/>
        <w:spacing w:after="156"/>
      </w:pPr>
      <w:r>
        <w:rPr>
          <w:rFonts w:hint="eastAsia"/>
          <w:lang w:val="en-US" w:eastAsia="zh-CN"/>
        </w:rPr>
        <w:t>DS外系统交互</w:t>
      </w:r>
    </w:p>
    <w:p>
      <w:pPr>
        <w:bidi w:val="0"/>
        <w:rPr>
          <w:rFonts w:hint="default"/>
          <w:lang w:val="en-US" w:eastAsia="zh-CN"/>
        </w:rPr>
      </w:pPr>
      <w:r>
        <w:rPr>
          <w:rFonts w:hint="eastAsia"/>
          <w:lang w:val="en-US" w:eastAsia="zh-CN"/>
        </w:rPr>
        <w:t>显示系统的物理架构的掌握可以在不同测试平台环境中，立即部署测试场景，以及断点信号采集验证。</w:t>
      </w:r>
    </w:p>
    <w:p>
      <w:pPr>
        <w:ind w:left="0" w:leftChars="0" w:firstLine="0" w:firstLineChars="0"/>
        <w:jc w:val="left"/>
      </w:pPr>
      <w:r>
        <w:object>
          <v:shape id="_x0000_i1026" o:spt="75" type="#_x0000_t75" style="height:341.25pt;width:415.5pt;" o:ole="t" filled="f" o:preferrelative="t" stroked="f" coordsize="21600,21600">
            <v:path/>
            <v:fill on="f" focussize="0,0"/>
            <v:stroke on="f"/>
            <v:imagedata r:id="rId18" o:title=""/>
            <o:lock v:ext="edit" aspectratio="t"/>
            <w10:wrap type="none"/>
            <w10:anchorlock/>
          </v:shape>
          <o:OLEObject Type="Embed" ProgID="Visio.Drawing.11" ShapeID="_x0000_i1026" DrawAspect="Content" ObjectID="_1468075726" r:id="rId17">
            <o:LockedField>false</o:LockedField>
          </o:OLEObject>
        </w:object>
      </w:r>
    </w:p>
    <w:p>
      <w:pPr>
        <w:pStyle w:val="15"/>
        <w:spacing w:after="156"/>
      </w:pPr>
      <w:r>
        <w:rPr>
          <w:rFonts w:hint="eastAsia"/>
          <w:lang w:val="en-US" w:eastAsia="zh-CN"/>
        </w:rPr>
        <w:t>DS显示系统物理架构</w:t>
      </w:r>
    </w:p>
    <w:p>
      <w:pPr>
        <w:bidi w:val="0"/>
        <w:rPr>
          <w:rFonts w:hint="default"/>
          <w:lang w:val="en-US" w:eastAsia="zh-CN"/>
        </w:rPr>
      </w:pPr>
      <w:r>
        <w:rPr>
          <w:rFonts w:hint="eastAsia"/>
          <w:lang w:val="en-US" w:eastAsia="zh-CN"/>
        </w:rPr>
        <w:t>A664架构的ADN是数据交互的核心枢纽，主要包括各个终端系统ENDSYSTEM、RDIU、IMA_GPM、RDIU、ACS、ARS；验证中最常用的是664信号的激励，有些信号需要经过RDIU进行转换429转664或者825转664等；所以需要掌握平台分配的A664的资源。</w:t>
      </w:r>
    </w:p>
    <w:p>
      <w:pPr>
        <w:pStyle w:val="9"/>
      </w:pPr>
      <w:r>
        <w:object>
          <v:shape id="_x0000_i1027" o:spt="75" type="#_x0000_t75" style="height:329.65pt;width:361.95pt;" o:ole="t" filled="f" o:preferrelative="t" stroked="f" coordsize="21600,21600">
            <v:path/>
            <v:fill on="f" focussize="0,0"/>
            <v:stroke on="f"/>
            <v:imagedata r:id="rId20" o:title=""/>
            <o:lock v:ext="edit" aspectratio="t"/>
            <w10:wrap type="none"/>
            <w10:anchorlock/>
          </v:shape>
          <o:OLEObject Type="Embed" ProgID="Visio.Drawing.11" ShapeID="_x0000_i1027" DrawAspect="Content" ObjectID="_1468075727" r:id="rId19">
            <o:LockedField>false</o:LockedField>
          </o:OLEObject>
        </w:object>
      </w:r>
    </w:p>
    <w:p>
      <w:pPr>
        <w:pStyle w:val="15"/>
        <w:spacing w:after="156"/>
      </w:pPr>
      <w:r>
        <w:rPr>
          <w:rFonts w:hint="eastAsia"/>
          <w:lang w:val="en-US" w:eastAsia="zh-CN"/>
        </w:rPr>
        <w:t>A664架构</w:t>
      </w:r>
    </w:p>
    <w:p>
      <w:pPr>
        <w:bidi w:val="0"/>
        <w:rPr>
          <w:rFonts w:hint="default"/>
          <w:lang w:val="en-US" w:eastAsia="zh-CN"/>
        </w:rPr>
      </w:pPr>
      <w:r>
        <w:rPr>
          <w:rFonts w:hint="eastAsia"/>
          <w:lang w:val="en-US" w:eastAsia="zh-CN"/>
        </w:rPr>
        <w:t>825信号主要是控制信号，有些825信号和IDU之间是直连的，有些是经过RDIU转664进入664网络进行逻辑工作。</w:t>
      </w:r>
    </w:p>
    <w:p>
      <w:pPr>
        <w:pStyle w:val="9"/>
        <w:ind w:left="0" w:leftChars="0" w:firstLine="0" w:firstLineChars="0"/>
        <w:jc w:val="both"/>
      </w:pPr>
      <w:r>
        <w:object>
          <v:shape id="_x0000_i1028" o:spt="75" type="#_x0000_t75" style="height:169.05pt;width:412.3pt;" o:ole="t" filled="f" o:preferrelative="t" stroked="f" coordsize="21600,21600">
            <v:path/>
            <v:fill on="f" focussize="0,0"/>
            <v:stroke on="f"/>
            <v:imagedata r:id="rId22" o:title=""/>
            <o:lock v:ext="edit" aspectratio="t"/>
            <w10:wrap type="none"/>
            <w10:anchorlock/>
          </v:shape>
          <o:OLEObject Type="Embed" ProgID="Visio.Drawing.11" ShapeID="_x0000_i1028" DrawAspect="Content" ObjectID="_1468075728" r:id="rId21">
            <o:LockedField>false</o:LockedField>
          </o:OLEObject>
        </w:object>
      </w:r>
    </w:p>
    <w:p>
      <w:pPr>
        <w:pStyle w:val="15"/>
        <w:spacing w:after="156"/>
      </w:pPr>
      <w:r>
        <w:rPr>
          <w:rFonts w:hint="eastAsia"/>
          <w:lang w:val="en-US" w:eastAsia="zh-CN"/>
        </w:rPr>
        <w:t>A825架构</w:t>
      </w:r>
    </w:p>
    <w:p>
      <w:pPr>
        <w:bidi w:val="0"/>
        <w:rPr>
          <w:rFonts w:hint="default"/>
          <w:lang w:val="en-US" w:eastAsia="zh-CN"/>
        </w:rPr>
      </w:pPr>
      <w:r>
        <w:rPr>
          <w:rFonts w:hint="eastAsia"/>
          <w:lang w:val="en-US" w:eastAsia="zh-CN"/>
        </w:rPr>
        <w:t>A818的资源可以扩展利用，进行自动化测试。</w:t>
      </w:r>
    </w:p>
    <w:p>
      <w:pPr>
        <w:pStyle w:val="9"/>
      </w:pPr>
      <w:r>
        <w:object>
          <v:shape id="_x0000_i1029" o:spt="75" type="#_x0000_t75" style="height:179.15pt;width:400.9pt;" o:ole="t" filled="f" o:preferrelative="t" stroked="f" coordsize="21600,21600">
            <v:path/>
            <v:fill on="f" focussize="0,0"/>
            <v:stroke on="f" joinstyle="miter"/>
            <v:imagedata r:id="rId24" o:title=""/>
            <o:lock v:ext="edit" aspectratio="t"/>
            <w10:wrap type="none"/>
            <w10:anchorlock/>
          </v:shape>
          <o:OLEObject Type="Embed" ProgID="Visio.Drawing.11" ShapeID="_x0000_i1029" DrawAspect="Content" ObjectID="_1468075729" r:id="rId23">
            <o:LockedField>false</o:LockedField>
          </o:OLEObject>
        </w:object>
      </w:r>
    </w:p>
    <w:p>
      <w:pPr>
        <w:pStyle w:val="15"/>
        <w:spacing w:after="156"/>
      </w:pPr>
      <w:r>
        <w:rPr>
          <w:rFonts w:hint="eastAsia"/>
          <w:lang w:val="en-US" w:eastAsia="zh-CN"/>
        </w:rPr>
        <w:t>A818架构</w:t>
      </w:r>
    </w:p>
    <w:p>
      <w:pPr>
        <w:bidi w:val="0"/>
        <w:rPr>
          <w:rFonts w:hint="default"/>
          <w:lang w:val="en-US" w:eastAsia="zh-CN"/>
        </w:rPr>
      </w:pPr>
      <w:r>
        <w:rPr>
          <w:rFonts w:hint="eastAsia"/>
          <w:lang w:val="en-US" w:eastAsia="zh-CN"/>
        </w:rPr>
        <w:t>A429信号在实际测试环境中，多数以仿真激励转664为主，少数为429直连信号，主要掌握429数据有效性的判断，不同类型不同的情况。</w:t>
      </w:r>
    </w:p>
    <w:p>
      <w:pPr>
        <w:pStyle w:val="9"/>
      </w:pPr>
      <w:r>
        <w:object>
          <v:shape id="_x0000_i1030" o:spt="75" type="#_x0000_t75" style="height:155.75pt;width:406.5pt;" o:ole="t" filled="f" o:preferrelative="t" stroked="f" coordsize="21600,21600">
            <v:path/>
            <v:fill on="f" focussize="0,0"/>
            <v:stroke on="f"/>
            <v:imagedata r:id="rId26" o:title=""/>
            <o:lock v:ext="edit" aspectratio="t"/>
            <w10:wrap type="none"/>
            <w10:anchorlock/>
          </v:shape>
          <o:OLEObject Type="Embed" ProgID="Visio.Drawing.11" ShapeID="_x0000_i1030" DrawAspect="Content" ObjectID="_1468075730" r:id="rId25">
            <o:LockedField>false</o:LockedField>
          </o:OLEObject>
        </w:object>
      </w:r>
    </w:p>
    <w:p>
      <w:pPr>
        <w:pStyle w:val="15"/>
        <w:spacing w:after="156"/>
      </w:pPr>
      <w:r>
        <w:rPr>
          <w:rFonts w:hint="eastAsia"/>
          <w:lang w:val="en-US" w:eastAsia="zh-CN"/>
        </w:rPr>
        <w:t>A429架构</w:t>
      </w:r>
    </w:p>
    <w:p>
      <w:pPr>
        <w:bidi w:val="0"/>
        <w:rPr>
          <w:rFonts w:hint="default"/>
          <w:lang w:val="en-US" w:eastAsia="zh-CN"/>
        </w:rPr>
      </w:pPr>
      <w:r>
        <w:rPr>
          <w:rFonts w:hint="eastAsia"/>
          <w:lang w:val="en-US" w:eastAsia="zh-CN"/>
        </w:rPr>
        <w:t>对于驻留功能在IDU内部的软件需要了解IDU内部的硬件模块构成，主要分为IOM、GPM1、GPM2、FPGA监控CDM、FPGA图像处理、DHA显示；对于性能方面的测试需要了解各个模块数据之间传递的延时。</w:t>
      </w:r>
    </w:p>
    <w:p>
      <w:pPr>
        <w:pStyle w:val="9"/>
      </w:pPr>
      <w:r>
        <w:object>
          <v:shape id="_x0000_i1031" o:spt="75" type="#_x0000_t75" style="height:243.65pt;width:430.45pt;" o:ole="t" filled="f" o:preferrelative="t" stroked="f" coordsize="21600,21600">
            <v:path/>
            <v:fill on="f" focussize="0,0"/>
            <v:stroke on="f"/>
            <v:imagedata r:id="rId28" o:title=""/>
            <o:lock v:ext="edit" aspectratio="t"/>
            <w10:wrap type="none"/>
            <w10:anchorlock/>
          </v:shape>
          <o:OLEObject Type="Embed" ProgID="Visio.Drawing.15" ShapeID="_x0000_i1031" DrawAspect="Content" ObjectID="_1468075731" r:id="rId27">
            <o:LockedField>false</o:LockedField>
          </o:OLEObject>
        </w:object>
      </w:r>
    </w:p>
    <w:p>
      <w:pPr>
        <w:pStyle w:val="15"/>
        <w:spacing w:after="156"/>
      </w:pPr>
      <w:r>
        <w:rPr>
          <w:rFonts w:hint="eastAsia"/>
          <w:lang w:val="en-US" w:eastAsia="zh-CN"/>
        </w:rPr>
        <w:t>IDU内部物理架构</w:t>
      </w:r>
    </w:p>
    <w:p>
      <w:pPr>
        <w:bidi w:val="0"/>
        <w:rPr>
          <w:rFonts w:hint="default"/>
          <w:lang w:val="en-US" w:eastAsia="zh-CN"/>
        </w:rPr>
      </w:pPr>
      <w:r>
        <w:rPr>
          <w:rFonts w:hint="eastAsia"/>
          <w:lang w:val="en-US" w:eastAsia="zh-CN"/>
        </w:rPr>
        <w:t>IDU内部应用分布在三个CPU上运行，不同应用之间的数据交互在不同CPU之间需要精确时间同步。</w:t>
      </w:r>
    </w:p>
    <w:p>
      <w:pPr>
        <w:pStyle w:val="9"/>
        <w:rPr>
          <w:rFonts w:ascii="Verdana" w:hAnsi="Verdana" w:eastAsia="等线"/>
          <w:sz w:val="21"/>
          <w:szCs w:val="21"/>
        </w:rPr>
      </w:pPr>
      <w:r>
        <w:rPr>
          <w:rFonts w:ascii="Verdana" w:hAnsi="Verdana" w:eastAsia="等线"/>
          <w:sz w:val="21"/>
          <w:szCs w:val="21"/>
        </w:rPr>
        <w:object>
          <v:shape id="_x0000_i1032" o:spt="75" type="#_x0000_t75" style="height:209.25pt;width:381.75pt;" o:ole="t" filled="f" o:preferrelative="t" stroked="f" coordsize="21600,21600">
            <v:path/>
            <v:fill on="f" focussize="0,0"/>
            <v:stroke on="f" joinstyle="miter"/>
            <v:imagedata r:id="rId30" o:title=""/>
            <o:lock v:ext="edit" aspectratio="t"/>
            <w10:wrap type="none"/>
            <w10:anchorlock/>
          </v:shape>
          <o:OLEObject Type="Embed" ProgID="Visio.Drawing.11" ShapeID="_x0000_i1032" DrawAspect="Content" ObjectID="_1468075732" r:id="rId29">
            <o:LockedField>false</o:LockedField>
          </o:OLEObject>
        </w:object>
      </w:r>
    </w:p>
    <w:p>
      <w:pPr>
        <w:pStyle w:val="15"/>
        <w:spacing w:after="156"/>
        <w:rPr>
          <w:rFonts w:ascii="Verdana" w:hAnsi="Verdana" w:eastAsia="等线"/>
          <w:sz w:val="21"/>
          <w:szCs w:val="21"/>
        </w:rPr>
      </w:pPr>
      <w:r>
        <w:rPr>
          <w:rFonts w:hint="eastAsia" w:ascii="Verdana" w:hAnsi="Verdana" w:eastAsia="等线"/>
          <w:sz w:val="21"/>
          <w:szCs w:val="21"/>
          <w:lang w:val="en-US" w:eastAsia="zh-CN"/>
        </w:rPr>
        <w:t>DMA三板同步</w:t>
      </w:r>
    </w:p>
    <w:p>
      <w:pPr>
        <w:bidi w:val="0"/>
        <w:rPr>
          <w:rFonts w:hint="eastAsia"/>
          <w:lang w:val="en-US" w:eastAsia="zh-CN"/>
        </w:rPr>
      </w:pPr>
      <w:r>
        <w:rPr>
          <w:rFonts w:hint="eastAsia"/>
          <w:lang w:val="en-US" w:eastAsia="zh-CN"/>
        </w:rPr>
        <w:t>IOM的CPU功能主要实现外部数据接口功能，主要判断数据的有效性的检查不包括EDE功能，包括A664的payload的Protocol ARINC 664 IOM Function、ARINC 825 IOM Function、ARINC 429 IOM Function的输入输出数据状态管理，以及源选择功能和特殊需求处理功能（429变长block数据处理，CRC数据和新鲜度数据处理，ISS综合监视数据处理等）；同时IOM上驻留有A661的ND和HSI的UA。</w:t>
      </w:r>
    </w:p>
    <w:p>
      <w:pPr>
        <w:bidi w:val="0"/>
        <w:rPr>
          <w:rFonts w:hint="eastAsia"/>
          <w:lang w:val="en-US" w:eastAsia="zh-CN"/>
        </w:rPr>
      </w:pPr>
      <w:r>
        <w:rPr>
          <w:rFonts w:hint="eastAsia"/>
          <w:lang w:val="en-US" w:eastAsia="zh-CN"/>
        </w:rPr>
        <w:t>GPM1和GPM2的CPU主要负责应用图像显示的输出，包括A661 的所有UA图像显示，以及非661的PFD、AUX、EI的显示。</w:t>
      </w:r>
    </w:p>
    <w:p>
      <w:pPr>
        <w:bidi w:val="0"/>
        <w:rPr>
          <w:rFonts w:hint="default"/>
          <w:lang w:val="en-US" w:eastAsia="zh-CN"/>
        </w:rPr>
      </w:pPr>
      <w:r>
        <w:rPr>
          <w:rFonts w:hint="eastAsia"/>
          <w:lang w:val="en-US" w:eastAsia="zh-CN"/>
        </w:rPr>
        <w:t>对软件结构的了解方便调试数据加载和IO分析。</w:t>
      </w:r>
    </w:p>
    <w:p>
      <w:pPr>
        <w:pStyle w:val="9"/>
        <w:ind w:left="0" w:leftChars="0" w:firstLine="0" w:firstLineChars="0"/>
        <w:jc w:val="center"/>
      </w:pPr>
      <w:r>
        <w:object>
          <v:shape id="_x0000_i1033" o:spt="75" type="#_x0000_t75" style="height:204.4pt;width:414.7pt;" o:ole="t" filled="f" o:preferrelative="t" stroked="f" coordsize="21600,21600">
            <v:path/>
            <v:fill on="f" focussize="0,0"/>
            <v:stroke on="f"/>
            <v:imagedata r:id="rId32" o:title=""/>
            <o:lock v:ext="edit" aspectratio="f"/>
            <w10:wrap type="none"/>
            <w10:anchorlock/>
          </v:shape>
          <o:OLEObject Type="Embed" ProgID="Visio.Drawing.15" ShapeID="_x0000_i1033" DrawAspect="Content" ObjectID="_1468075733" r:id="rId31">
            <o:LockedField>false</o:LockedField>
          </o:OLEObject>
        </w:object>
      </w:r>
    </w:p>
    <w:p>
      <w:pPr>
        <w:pStyle w:val="15"/>
        <w:spacing w:after="156"/>
      </w:pPr>
      <w:r>
        <w:rPr>
          <w:rFonts w:hint="eastAsia"/>
          <w:lang w:val="en-US" w:eastAsia="zh-CN"/>
        </w:rPr>
        <w:t>软件架构1</w:t>
      </w:r>
    </w:p>
    <w:p>
      <w:pPr>
        <w:pStyle w:val="9"/>
        <w:ind w:left="0" w:leftChars="0" w:firstLine="0" w:firstLineChars="0"/>
        <w:jc w:val="center"/>
      </w:pPr>
      <w:r>
        <w:object>
          <v:shape id="_x0000_i1034" o:spt="75" type="#_x0000_t75" style="height:184.35pt;width:415.2pt;" o:ole="t" filled="f" o:preferrelative="t" stroked="f" coordsize="21600,21600">
            <v:path/>
            <v:fill on="f" focussize="0,0"/>
            <v:stroke on="f"/>
            <v:imagedata r:id="rId34" o:title=""/>
            <o:lock v:ext="edit" aspectratio="f"/>
            <w10:wrap type="none"/>
            <w10:anchorlock/>
          </v:shape>
          <o:OLEObject Type="Embed" ProgID="Visio.Drawing.15" ShapeID="_x0000_i1034" DrawAspect="Content" ObjectID="_1468075734" r:id="rId33">
            <o:LockedField>false</o:LockedField>
          </o:OLEObject>
        </w:object>
      </w:r>
    </w:p>
    <w:p>
      <w:pPr>
        <w:pStyle w:val="15"/>
        <w:spacing w:after="156"/>
      </w:pPr>
      <w:r>
        <w:rPr>
          <w:rFonts w:hint="eastAsia"/>
          <w:lang w:val="en-US" w:eastAsia="zh-CN"/>
        </w:rPr>
        <w:t>软件架构2</w:t>
      </w:r>
    </w:p>
    <w:p>
      <w:pPr>
        <w:pStyle w:val="9"/>
        <w:ind w:left="0" w:leftChars="0" w:firstLine="0" w:firstLineChars="0"/>
        <w:jc w:val="center"/>
      </w:pPr>
      <w:r>
        <w:object>
          <v:shape id="_x0000_i1038" o:spt="75" type="#_x0000_t75" style="height:230.5pt;width:348.1pt;" o:ole="t" filled="f" o:preferrelative="t" stroked="f" coordsize="21600,21600">
            <v:path/>
            <v:fill on="f" focussize="0,0"/>
            <v:stroke on="f"/>
            <v:imagedata r:id="rId36" o:title=""/>
            <o:lock v:ext="edit" aspectratio="f"/>
            <w10:wrap type="none"/>
            <w10:anchorlock/>
          </v:shape>
          <o:OLEObject Type="Embed" ProgID="Visio.Drawing.15" ShapeID="_x0000_i1038" DrawAspect="Content" ObjectID="_1468075735" r:id="rId35">
            <o:LockedField>false</o:LockedField>
          </o:OLEObject>
        </w:object>
      </w:r>
    </w:p>
    <w:p>
      <w:pPr>
        <w:pStyle w:val="15"/>
        <w:spacing w:after="156"/>
      </w:pPr>
      <w:r>
        <w:rPr>
          <w:rFonts w:hint="eastAsia"/>
          <w:lang w:val="en-US" w:eastAsia="zh-CN"/>
        </w:rPr>
        <w:t>软件架构3</w:t>
      </w:r>
    </w:p>
    <w:p>
      <w:pPr>
        <w:pStyle w:val="9"/>
        <w:rPr>
          <w:rFonts w:hint="default"/>
          <w:lang w:val="en-US"/>
        </w:rPr>
      </w:pPr>
      <w:r>
        <w:rPr>
          <w:rFonts w:hint="eastAsia"/>
          <w:lang w:val="en-US" w:eastAsia="zh-CN"/>
        </w:rPr>
        <w:t>A661大部分UA应用驻留在IMA的GPM上，通过AFDX交换式网络进行传递A661标准协议数据；IMA的平台由昂际提供应用UA的运行环境。</w:t>
      </w:r>
    </w:p>
    <w:p>
      <w:pPr>
        <w:pStyle w:val="9"/>
        <w:ind w:left="0" w:leftChars="0" w:firstLine="0" w:firstLineChars="0"/>
        <w:jc w:val="center"/>
      </w:pPr>
      <w:r>
        <w:object>
          <v:shape id="_x0000_i1036" o:spt="75" type="#_x0000_t75" style="height:171.6pt;width:415.05pt;" o:ole="t" filled="f" o:preferrelative="t" stroked="f" coordsize="21600,21600">
            <v:path/>
            <v:fill on="f" focussize="0,0"/>
            <v:stroke on="f"/>
            <v:imagedata r:id="rId38" o:title=""/>
            <o:lock v:ext="edit" aspectratio="f"/>
            <w10:wrap type="none"/>
            <w10:anchorlock/>
          </v:shape>
          <o:OLEObject Type="Embed" ProgID="Visio.Drawing.15" ShapeID="_x0000_i1036" DrawAspect="Content" ObjectID="_1468075736" r:id="rId37">
            <o:LockedField>false</o:LockedField>
          </o:OLEObject>
        </w:object>
      </w:r>
    </w:p>
    <w:p>
      <w:pPr>
        <w:pStyle w:val="15"/>
        <w:spacing w:after="156"/>
      </w:pPr>
      <w:r>
        <w:rPr>
          <w:rFonts w:hint="eastAsia"/>
          <w:lang w:val="en-US" w:eastAsia="zh-CN"/>
        </w:rPr>
        <w:t>软件架构4</w:t>
      </w:r>
    </w:p>
    <w:p>
      <w:pPr>
        <w:pStyle w:val="2"/>
        <w:bidi w:val="0"/>
      </w:pPr>
      <w:r>
        <w:rPr>
          <w:rFonts w:hint="eastAsia"/>
          <w:lang w:val="en-US" w:eastAsia="zh-CN"/>
        </w:rPr>
        <w:t>工作内容介绍</w:t>
      </w:r>
    </w:p>
    <w:p>
      <w:pPr>
        <w:rPr>
          <w:rFonts w:hint="eastAsia"/>
          <w:lang w:val="en-US" w:eastAsia="zh-CN"/>
        </w:rPr>
      </w:pPr>
      <w:r>
        <w:rPr>
          <w:rFonts w:hint="eastAsia"/>
          <w:lang w:val="en-US" w:eastAsia="zh-CN"/>
        </w:rPr>
        <w:t>基于A661 、EI、AUX系统需求开展系统验证方法标注、验证方法的评审及入库、验证用例的开发及评审入库、验证程序的开发及入库、验证程序试运行、集成测试、报告总结等活动。</w:t>
      </w:r>
    </w:p>
    <w:p>
      <w:pPr>
        <w:rPr>
          <w:rFonts w:hint="eastAsia"/>
          <w:lang w:val="en-US" w:eastAsia="zh-CN"/>
        </w:rPr>
      </w:pPr>
      <w:r>
        <w:rPr>
          <w:rFonts w:hint="eastAsia"/>
          <w:lang w:val="en-US" w:eastAsia="zh-CN"/>
        </w:rPr>
        <w:t>根据ARP4754A 5.5.5.6章节 推荐的验证方法，研制保证等级高的推荐使用测试的验证方法，所以在验证方法分配过程中应当遵守分配测试验证方法的优先级最高的原则。对于系统需求，Test验证方法为第一优先级，在不能测试的情况下，再选择其他的验证方法。对某一条需求，不限于一种验证方法，可以是多种验证方法的组合，视具体情况决定。</w:t>
      </w:r>
    </w:p>
    <w:p>
      <w:pPr>
        <w:rPr>
          <w:rFonts w:hint="eastAsia"/>
          <w:lang w:val="en-US" w:eastAsia="zh-CN"/>
        </w:rPr>
      </w:pPr>
      <w:r>
        <w:rPr>
          <w:rFonts w:hint="eastAsia"/>
          <w:lang w:val="en-US" w:eastAsia="zh-CN"/>
        </w:rPr>
        <w:t>需求的种类分为功能性需求、接口需求、性能需求、四性需求、格式需求等，应按照验证方法分配的指南进行对各类的需求进行分配验证方法。</w:t>
      </w:r>
    </w:p>
    <w:p>
      <w:pPr>
        <w:rPr>
          <w:rFonts w:hint="eastAsia"/>
          <w:lang w:val="en-US" w:eastAsia="zh-CN"/>
        </w:rPr>
      </w:pPr>
      <w:r>
        <w:rPr>
          <w:rFonts w:hint="eastAsia"/>
          <w:lang w:val="en-US" w:eastAsia="zh-CN"/>
        </w:rPr>
        <w:t>需求验证方法初步分配结束之后，准备进入开展同行评审活动流程，由需求或者专家人员提出对需求分配方法中存在问题的地方，以及修改的意见；接收到反馈意见之后，进行分配方法的修正，或者反馈无法同意评审意见的原因，并做记录上传SVN中。</w:t>
      </w:r>
    </w:p>
    <w:p>
      <w:pPr>
        <w:ind w:firstLine="560"/>
        <w:jc w:val="center"/>
      </w:pPr>
      <w:r>
        <w:object>
          <v:shape id="_x0000_i1037" o:spt="75" type="#_x0000_t75" style="height:559.8pt;width:129.7pt;" o:ole="t" filled="f" o:preferrelative="t" stroked="f" coordsize="21600,21600">
            <v:path/>
            <v:fill on="f" focussize="0,0"/>
            <v:stroke on="f" joinstyle="miter"/>
            <v:imagedata r:id="rId40" o:title=""/>
            <o:lock v:ext="edit" aspectratio="t"/>
            <w10:wrap type="none"/>
            <w10:anchorlock/>
          </v:shape>
          <o:OLEObject Type="Embed" ProgID="Visio.Drawing.15" ShapeID="_x0000_i1037" DrawAspect="Content" ObjectID="_1468075737" r:id="rId39">
            <o:LockedField>false</o:LockedField>
          </o:OLEObject>
        </w:object>
      </w:r>
    </w:p>
    <w:p>
      <w:pPr>
        <w:pStyle w:val="15"/>
        <w:spacing w:after="156"/>
        <w:ind w:left="1555"/>
      </w:pPr>
      <w:r>
        <w:rPr>
          <w:rFonts w:hint="eastAsia"/>
        </w:rPr>
        <w:t>系统验证流程</w:t>
      </w:r>
    </w:p>
    <w:p>
      <w:pPr>
        <w:rPr>
          <w:rFonts w:hint="default"/>
          <w:lang w:val="en-US" w:eastAsia="zh-CN"/>
        </w:rPr>
      </w:pPr>
      <w:r>
        <w:rPr>
          <w:rFonts w:hint="eastAsia"/>
          <w:lang w:val="en-US" w:eastAsia="zh-CN"/>
        </w:rPr>
        <w:t>测试方法：黑盒，基于ICD文件仿真激励信号验证。系统航电包的XML的ICD文件定义了ATA系统之间的应用数据交互的统一格式要求（GUID映射，面向对象），测试过程基于ICD 的信号链路格式发送激励信号。</w:t>
      </w:r>
    </w:p>
    <w:p>
      <w:pPr>
        <w:ind w:firstLine="420"/>
      </w:pPr>
      <w:r>
        <w:drawing>
          <wp:inline distT="0" distB="0" distL="114300" distR="114300">
            <wp:extent cx="5267325" cy="3752215"/>
            <wp:effectExtent l="0" t="0" r="635" b="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41"/>
                    <a:stretch>
                      <a:fillRect/>
                    </a:stretch>
                  </pic:blipFill>
                  <pic:spPr>
                    <a:xfrm>
                      <a:off x="0" y="0"/>
                      <a:ext cx="5267325" cy="3752215"/>
                    </a:xfrm>
                    <a:prstGeom prst="rect">
                      <a:avLst/>
                    </a:prstGeom>
                    <a:noFill/>
                    <a:ln>
                      <a:noFill/>
                    </a:ln>
                  </pic:spPr>
                </pic:pic>
              </a:graphicData>
            </a:graphic>
          </wp:inline>
        </w:drawing>
      </w:r>
    </w:p>
    <w:p>
      <w:pPr>
        <w:pStyle w:val="15"/>
        <w:spacing w:after="156"/>
      </w:pPr>
      <w:r>
        <w:rPr>
          <w:rFonts w:hint="eastAsia"/>
          <w:lang w:val="en-US" w:eastAsia="zh-CN"/>
        </w:rPr>
        <w:t>A664架构下接口</w:t>
      </w:r>
    </w:p>
    <w:p>
      <w:pPr>
        <w:pStyle w:val="9"/>
        <w:rPr>
          <w:rFonts w:hint="default"/>
          <w:lang w:val="en-US"/>
        </w:rPr>
      </w:pPr>
      <w:r>
        <w:rPr>
          <w:rFonts w:hint="eastAsia"/>
          <w:lang w:val="en-US" w:eastAsia="zh-CN"/>
        </w:rPr>
        <w:t>标准A664协议的UDP payload格式（区别于以太网的UDP payload），EDE功能网卡。</w:t>
      </w:r>
    </w:p>
    <w:p>
      <w:pPr>
        <w:pStyle w:val="9"/>
      </w:pPr>
      <w:r>
        <w:drawing>
          <wp:inline distT="0" distB="0" distL="114300" distR="114300">
            <wp:extent cx="5274310" cy="3112135"/>
            <wp:effectExtent l="0" t="0" r="4445" b="762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42"/>
                    <a:stretch>
                      <a:fillRect/>
                    </a:stretch>
                  </pic:blipFill>
                  <pic:spPr>
                    <a:xfrm>
                      <a:off x="0" y="0"/>
                      <a:ext cx="5274310" cy="3112135"/>
                    </a:xfrm>
                    <a:prstGeom prst="rect">
                      <a:avLst/>
                    </a:prstGeom>
                    <a:noFill/>
                    <a:ln>
                      <a:noFill/>
                    </a:ln>
                  </pic:spPr>
                </pic:pic>
              </a:graphicData>
            </a:graphic>
          </wp:inline>
        </w:drawing>
      </w:r>
    </w:p>
    <w:p>
      <w:pPr>
        <w:pStyle w:val="15"/>
        <w:spacing w:after="156"/>
      </w:pPr>
      <w:r>
        <w:rPr>
          <w:rFonts w:hint="eastAsia"/>
          <w:lang w:val="en-US" w:eastAsia="zh-CN"/>
        </w:rPr>
        <w:t>A664消息结构</w:t>
      </w:r>
    </w:p>
    <w:p>
      <w:pPr>
        <w:bidi w:val="0"/>
        <w:rPr>
          <w:rFonts w:hint="default" w:eastAsia="宋体"/>
          <w:lang w:val="en-US" w:eastAsia="zh-CN"/>
        </w:rPr>
      </w:pPr>
      <w:r>
        <w:rPr>
          <w:rFonts w:hint="eastAsia"/>
          <w:lang w:val="en-US" w:eastAsia="zh-CN"/>
        </w:rPr>
        <w:t>AFDX（A664）的航电系统拓扑结构。</w:t>
      </w:r>
    </w:p>
    <w:p>
      <w:pPr>
        <w:pStyle w:val="9"/>
      </w:pPr>
      <w:r>
        <w:drawing>
          <wp:inline distT="0" distB="0" distL="114300" distR="114300">
            <wp:extent cx="5264150" cy="2096135"/>
            <wp:effectExtent l="0" t="0" r="3810" b="889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43"/>
                    <a:stretch>
                      <a:fillRect/>
                    </a:stretch>
                  </pic:blipFill>
                  <pic:spPr>
                    <a:xfrm>
                      <a:off x="0" y="0"/>
                      <a:ext cx="5264150" cy="2096135"/>
                    </a:xfrm>
                    <a:prstGeom prst="rect">
                      <a:avLst/>
                    </a:prstGeom>
                    <a:noFill/>
                    <a:ln>
                      <a:noFill/>
                    </a:ln>
                  </pic:spPr>
                </pic:pic>
              </a:graphicData>
            </a:graphic>
          </wp:inline>
        </w:drawing>
      </w:r>
    </w:p>
    <w:p>
      <w:pPr>
        <w:pStyle w:val="15"/>
        <w:spacing w:after="156"/>
      </w:pPr>
      <w:r>
        <w:rPr>
          <w:rFonts w:hint="eastAsia"/>
          <w:lang w:val="en-US" w:eastAsia="zh-CN"/>
        </w:rPr>
        <w:t>AFDX网络</w:t>
      </w:r>
    </w:p>
    <w:p>
      <w:pPr>
        <w:bidi w:val="0"/>
        <w:rPr>
          <w:rFonts w:hint="default"/>
          <w:lang w:val="en-US" w:eastAsia="zh-CN"/>
        </w:rPr>
      </w:pPr>
      <w:r>
        <w:rPr>
          <w:rFonts w:hint="eastAsia"/>
          <w:lang w:val="en-US" w:eastAsia="zh-CN"/>
        </w:rPr>
        <w:t>逻辑总线和物理总线ICD定义的数据链路；物理总线相对于LRU设备，逻辑总线相对于LRU的驻留功能。物理总线flow：ATA 27 FCS-&gt;LRU:FCM_1-&gt;A664网线-&gt;ATA 42 IMA:CCR-&gt;LRU:ACS-&gt;LRU:ARS-&gt;ATA 31 Display-&gt;LRU:IDUCENTER;逻辑总线flow：HF_FCM1 hostfunction tx port DP参数通过航电定义的虚拟链路发送A664消息给虚拟链路的接收端RP参数接口。</w:t>
      </w:r>
    </w:p>
    <w:p>
      <w:pPr>
        <w:pStyle w:val="9"/>
      </w:pPr>
      <w:r>
        <w:drawing>
          <wp:inline distT="0" distB="0" distL="114300" distR="114300">
            <wp:extent cx="5274310" cy="3672840"/>
            <wp:effectExtent l="0" t="0" r="4445" b="8255"/>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44"/>
                    <a:stretch>
                      <a:fillRect/>
                    </a:stretch>
                  </pic:blipFill>
                  <pic:spPr>
                    <a:xfrm>
                      <a:off x="0" y="0"/>
                      <a:ext cx="5274310" cy="3672840"/>
                    </a:xfrm>
                    <a:prstGeom prst="rect">
                      <a:avLst/>
                    </a:prstGeom>
                    <a:noFill/>
                    <a:ln>
                      <a:noFill/>
                    </a:ln>
                  </pic:spPr>
                </pic:pic>
              </a:graphicData>
            </a:graphic>
          </wp:inline>
        </w:drawing>
      </w:r>
    </w:p>
    <w:p>
      <w:pPr>
        <w:pStyle w:val="15"/>
        <w:spacing w:after="156"/>
      </w:pPr>
      <w:r>
        <w:rPr>
          <w:rFonts w:ascii="Calibri" w:hAnsi="Calibri" w:eastAsia="宋体" w:cs="mn-cs"/>
          <w:color w:val="000000"/>
          <w:kern w:val="24"/>
          <w:sz w:val="28"/>
          <w:szCs w:val="28"/>
        </w:rPr>
        <w:t>DS</w:t>
      </w:r>
      <w:r>
        <w:rPr>
          <w:rFonts w:hint="eastAsia" w:ascii="Calibri" w:hAnsi="宋体" w:eastAsia="宋体" w:cs="mn-cs"/>
          <w:color w:val="000000"/>
          <w:kern w:val="24"/>
          <w:sz w:val="28"/>
          <w:szCs w:val="28"/>
        </w:rPr>
        <w:t>数据链路</w:t>
      </w:r>
      <w:r>
        <w:rPr>
          <w:rFonts w:hint="eastAsia" w:ascii="Calibri" w:hAnsi="宋体" w:cs="mn-cs"/>
          <w:color w:val="000000"/>
          <w:kern w:val="24"/>
          <w:sz w:val="28"/>
          <w:szCs w:val="28"/>
          <w:lang w:val="en-US" w:eastAsia="zh-CN"/>
        </w:rPr>
        <w:t>例子</w:t>
      </w:r>
    </w:p>
    <w:p>
      <w:pPr>
        <w:bidi w:val="0"/>
        <w:rPr>
          <w:rFonts w:hint="default" w:eastAsia="宋体"/>
          <w:lang w:val="en-US" w:eastAsia="zh-CN"/>
        </w:rPr>
      </w:pPr>
      <w:r>
        <w:rPr>
          <w:rFonts w:hint="eastAsia"/>
          <w:lang w:val="en-US" w:eastAsia="zh-CN"/>
        </w:rPr>
        <w:t>AFDX网络与传统以太网的区别在于AFDX是一个确定性的网络，AFDX网络兼容以太网的数据格式，AFDX端芯片网卡负责虚拟链路的时间分配调度，这样避免了以太网络的collision造成的数据延迟，对于同一个链路的数据都以固定时间片发送。</w:t>
      </w:r>
    </w:p>
    <w:p>
      <w:pPr>
        <w:pStyle w:val="9"/>
      </w:pPr>
    </w:p>
    <w:p>
      <w:pPr>
        <w:pStyle w:val="15"/>
        <w:numPr>
          <w:numId w:val="0"/>
        </w:numPr>
        <w:spacing w:after="156"/>
        <w:ind w:leftChars="0"/>
        <w:jc w:val="center"/>
      </w:pPr>
      <w:r>
        <w:drawing>
          <wp:inline distT="0" distB="0" distL="114300" distR="114300">
            <wp:extent cx="3629660" cy="1851660"/>
            <wp:effectExtent l="0" t="0" r="8890" b="1524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45"/>
                    <a:stretch>
                      <a:fillRect/>
                    </a:stretch>
                  </pic:blipFill>
                  <pic:spPr>
                    <a:xfrm>
                      <a:off x="0" y="0"/>
                      <a:ext cx="3629660" cy="1851660"/>
                    </a:xfrm>
                    <a:prstGeom prst="rect">
                      <a:avLst/>
                    </a:prstGeom>
                    <a:noFill/>
                    <a:ln>
                      <a:noFill/>
                    </a:ln>
                  </pic:spPr>
                </pic:pic>
              </a:graphicData>
            </a:graphic>
          </wp:inline>
        </w:drawing>
      </w:r>
    </w:p>
    <w:p>
      <w:pPr>
        <w:pStyle w:val="15"/>
        <w:spacing w:after="156"/>
      </w:pPr>
      <w:r>
        <w:rPr>
          <w:rFonts w:hint="eastAsia"/>
          <w:lang w:val="en-US" w:eastAsia="zh-CN"/>
        </w:rPr>
        <w:t>AFDX网络数据包封装</w:t>
      </w:r>
    </w:p>
    <w:p>
      <w:pPr>
        <w:pStyle w:val="9"/>
        <w:ind w:left="0" w:leftChars="0" w:firstLine="0" w:firstLineChars="0"/>
        <w:jc w:val="center"/>
      </w:pPr>
    </w:p>
    <w:p>
      <w:pPr>
        <w:pStyle w:val="9"/>
        <w:ind w:left="0" w:leftChars="0" w:firstLine="0" w:firstLineChars="0"/>
        <w:jc w:val="center"/>
      </w:pPr>
      <w:r>
        <w:drawing>
          <wp:inline distT="0" distB="0" distL="114300" distR="114300">
            <wp:extent cx="4772660" cy="6541770"/>
            <wp:effectExtent l="0" t="0" r="8890"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46"/>
                    <a:stretch>
                      <a:fillRect/>
                    </a:stretch>
                  </pic:blipFill>
                  <pic:spPr>
                    <a:xfrm>
                      <a:off x="0" y="0"/>
                      <a:ext cx="4772660" cy="6541770"/>
                    </a:xfrm>
                    <a:prstGeom prst="rect">
                      <a:avLst/>
                    </a:prstGeom>
                    <a:noFill/>
                    <a:ln>
                      <a:noFill/>
                    </a:ln>
                  </pic:spPr>
                </pic:pic>
              </a:graphicData>
            </a:graphic>
          </wp:inline>
        </w:drawing>
      </w:r>
    </w:p>
    <w:p>
      <w:pPr>
        <w:pStyle w:val="15"/>
        <w:spacing w:after="156"/>
        <w:rPr>
          <w:rFonts w:hint="eastAsia" w:eastAsia="宋体"/>
          <w:lang w:val="en-US" w:eastAsia="zh-CN"/>
        </w:rPr>
      </w:pPr>
      <w:r>
        <w:rPr>
          <w:rFonts w:hint="eastAsia"/>
          <w:lang w:val="en-US" w:eastAsia="zh-CN"/>
        </w:rPr>
        <w:t>AFDX网络协议栈tx</w:t>
      </w:r>
    </w:p>
    <w:p>
      <w:pPr>
        <w:pStyle w:val="9"/>
      </w:pPr>
      <w:r>
        <w:drawing>
          <wp:inline distT="0" distB="0" distL="114300" distR="114300">
            <wp:extent cx="4710430" cy="5198110"/>
            <wp:effectExtent l="0" t="0" r="13970" b="254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pic:cNvPicPr>
                  </pic:nvPicPr>
                  <pic:blipFill>
                    <a:blip r:embed="rId47"/>
                    <a:stretch>
                      <a:fillRect/>
                    </a:stretch>
                  </pic:blipFill>
                  <pic:spPr>
                    <a:xfrm>
                      <a:off x="0" y="0"/>
                      <a:ext cx="4710430" cy="5198110"/>
                    </a:xfrm>
                    <a:prstGeom prst="rect">
                      <a:avLst/>
                    </a:prstGeom>
                    <a:noFill/>
                    <a:ln>
                      <a:noFill/>
                    </a:ln>
                  </pic:spPr>
                </pic:pic>
              </a:graphicData>
            </a:graphic>
          </wp:inline>
        </w:drawing>
      </w:r>
    </w:p>
    <w:p>
      <w:pPr>
        <w:pStyle w:val="15"/>
        <w:spacing w:after="156"/>
      </w:pPr>
      <w:r>
        <w:rPr>
          <w:rFonts w:hint="eastAsia"/>
          <w:lang w:val="en-US" w:eastAsia="zh-CN"/>
        </w:rPr>
        <w:t>AFDX网络协议栈rx</w:t>
      </w:r>
    </w:p>
    <w:p>
      <w:pPr>
        <w:pStyle w:val="2"/>
      </w:pPr>
      <w:r>
        <w:rPr>
          <w:rFonts w:hint="eastAsia"/>
          <w:lang w:val="en-US" w:eastAsia="zh-CN"/>
        </w:rPr>
        <w:t>A661配置项介绍</w:t>
      </w:r>
    </w:p>
    <w:p>
      <w:pPr>
        <w:pStyle w:val="15"/>
        <w:spacing w:after="156"/>
      </w:pPr>
      <w:bookmarkStart w:id="4" w:name="_GoBack"/>
      <w:r>
        <w:drawing>
          <wp:anchor distT="0" distB="0" distL="114300" distR="114300" simplePos="0" relativeHeight="251659264" behindDoc="0" locked="0" layoutInCell="1" allowOverlap="1">
            <wp:simplePos x="0" y="0"/>
            <wp:positionH relativeFrom="column">
              <wp:posOffset>252095</wp:posOffset>
            </wp:positionH>
            <wp:positionV relativeFrom="page">
              <wp:posOffset>1686560</wp:posOffset>
            </wp:positionV>
            <wp:extent cx="4206875" cy="3151505"/>
            <wp:effectExtent l="0" t="0" r="3175" b="10795"/>
            <wp:wrapTopAndBottom/>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8"/>
                    <a:stretch>
                      <a:fillRect/>
                    </a:stretch>
                  </pic:blipFill>
                  <pic:spPr>
                    <a:xfrm>
                      <a:off x="0" y="0"/>
                      <a:ext cx="4206875" cy="3151505"/>
                    </a:xfrm>
                    <a:prstGeom prst="rect">
                      <a:avLst/>
                    </a:prstGeom>
                    <a:noFill/>
                    <a:ln>
                      <a:noFill/>
                    </a:ln>
                  </pic:spPr>
                </pic:pic>
              </a:graphicData>
            </a:graphic>
          </wp:anchor>
        </w:drawing>
      </w:r>
      <w:bookmarkEnd w:id="4"/>
      <w:r>
        <w:drawing>
          <wp:anchor distT="0" distB="0" distL="114300" distR="114300" simplePos="0" relativeHeight="251660288" behindDoc="0" locked="0" layoutInCell="1" allowOverlap="1">
            <wp:simplePos x="0" y="0"/>
            <wp:positionH relativeFrom="column">
              <wp:posOffset>52070</wp:posOffset>
            </wp:positionH>
            <wp:positionV relativeFrom="page">
              <wp:posOffset>5415915</wp:posOffset>
            </wp:positionV>
            <wp:extent cx="5094605" cy="3240405"/>
            <wp:effectExtent l="0" t="0" r="10795" b="17145"/>
            <wp:wrapTopAndBottom/>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94605" cy="3240405"/>
                    </a:xfrm>
                    <a:prstGeom prst="rect">
                      <a:avLst/>
                    </a:prstGeom>
                  </pic:spPr>
                </pic:pic>
              </a:graphicData>
            </a:graphic>
          </wp:anchor>
        </w:drawing>
      </w:r>
      <w:r>
        <w:rPr>
          <w:rFonts w:hint="eastAsia"/>
          <w:lang w:val="en-US" w:eastAsia="zh-CN"/>
        </w:rPr>
        <w:t>A661通讯设计</w:t>
      </w:r>
    </w:p>
    <w:p>
      <w:pPr>
        <w:pStyle w:val="15"/>
        <w:spacing w:after="156"/>
      </w:pPr>
      <w:r>
        <w:rPr>
          <w:rFonts w:hint="eastAsia"/>
          <w:lang w:val="en-US" w:eastAsia="zh-CN"/>
        </w:rPr>
        <w:t>A661成员系统架构</w:t>
      </w:r>
    </w:p>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mn-c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B56886"/>
    <w:multiLevelType w:val="multilevel"/>
    <w:tmpl w:val="20B56886"/>
    <w:lvl w:ilvl="0" w:tentative="0">
      <w:start w:val="1"/>
      <w:numFmt w:val="decimal"/>
      <w:pStyle w:val="15"/>
      <w:lvlText w:val="图%1"/>
      <w:lvlJc w:val="center"/>
      <w:pPr>
        <w:ind w:left="420" w:hanging="420"/>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7EC5F08"/>
    <w:multiLevelType w:val="multilevel"/>
    <w:tmpl w:val="47EC5F08"/>
    <w:lvl w:ilvl="0" w:tentative="0">
      <w:start w:val="1"/>
      <w:numFmt w:val="decimal"/>
      <w:pStyle w:val="8"/>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2">
    <w:nsid w:val="5AB21755"/>
    <w:multiLevelType w:val="multilevel"/>
    <w:tmpl w:val="5AB21755"/>
    <w:lvl w:ilvl="0" w:tentative="0">
      <w:start w:val="1"/>
      <w:numFmt w:val="chineseCountingThousand"/>
      <w:pStyle w:val="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1MWZjYmQ5N2MzMWEwYzcwZTk3MWY3MDdmODQxYmEifQ=="/>
  </w:docVars>
  <w:rsids>
    <w:rsidRoot w:val="00172A27"/>
    <w:rsid w:val="0005277A"/>
    <w:rsid w:val="00095CC3"/>
    <w:rsid w:val="00224D42"/>
    <w:rsid w:val="00237FA2"/>
    <w:rsid w:val="002B6648"/>
    <w:rsid w:val="002B6ACC"/>
    <w:rsid w:val="002D1BE9"/>
    <w:rsid w:val="004068CA"/>
    <w:rsid w:val="00410A2F"/>
    <w:rsid w:val="004A58F4"/>
    <w:rsid w:val="005158DA"/>
    <w:rsid w:val="00525657"/>
    <w:rsid w:val="005E3BDD"/>
    <w:rsid w:val="00600654"/>
    <w:rsid w:val="0061514C"/>
    <w:rsid w:val="006456A7"/>
    <w:rsid w:val="0065196F"/>
    <w:rsid w:val="00662C2E"/>
    <w:rsid w:val="0067112B"/>
    <w:rsid w:val="006C6AE3"/>
    <w:rsid w:val="008016DF"/>
    <w:rsid w:val="008D7C9C"/>
    <w:rsid w:val="009211CF"/>
    <w:rsid w:val="0095544C"/>
    <w:rsid w:val="009B1E3D"/>
    <w:rsid w:val="009F7FDF"/>
    <w:rsid w:val="00A73965"/>
    <w:rsid w:val="00B13547"/>
    <w:rsid w:val="00B16468"/>
    <w:rsid w:val="00B646FD"/>
    <w:rsid w:val="00C33607"/>
    <w:rsid w:val="00C47D7B"/>
    <w:rsid w:val="00C82B92"/>
    <w:rsid w:val="00C91796"/>
    <w:rsid w:val="00D13BE9"/>
    <w:rsid w:val="00D45838"/>
    <w:rsid w:val="00D554B9"/>
    <w:rsid w:val="00E069BE"/>
    <w:rsid w:val="00E72E04"/>
    <w:rsid w:val="00E94A50"/>
    <w:rsid w:val="00ED3769"/>
    <w:rsid w:val="00FB0B15"/>
    <w:rsid w:val="00FD055D"/>
    <w:rsid w:val="0123727B"/>
    <w:rsid w:val="01987FE8"/>
    <w:rsid w:val="04137DFA"/>
    <w:rsid w:val="091837BC"/>
    <w:rsid w:val="0BF222C8"/>
    <w:rsid w:val="0C24792F"/>
    <w:rsid w:val="0C6C454B"/>
    <w:rsid w:val="0CEC2F96"/>
    <w:rsid w:val="0D5A07B9"/>
    <w:rsid w:val="0FAD42A4"/>
    <w:rsid w:val="11241A79"/>
    <w:rsid w:val="15A16E7A"/>
    <w:rsid w:val="15A84FF5"/>
    <w:rsid w:val="15F0465D"/>
    <w:rsid w:val="163069CD"/>
    <w:rsid w:val="1776627E"/>
    <w:rsid w:val="1BA15893"/>
    <w:rsid w:val="1BB92BDD"/>
    <w:rsid w:val="1E1E62FF"/>
    <w:rsid w:val="1E472722"/>
    <w:rsid w:val="200543F3"/>
    <w:rsid w:val="222F49F4"/>
    <w:rsid w:val="22DA3B18"/>
    <w:rsid w:val="23285D43"/>
    <w:rsid w:val="249C7E59"/>
    <w:rsid w:val="24C72B1C"/>
    <w:rsid w:val="2AB83B84"/>
    <w:rsid w:val="2D347394"/>
    <w:rsid w:val="2F25085E"/>
    <w:rsid w:val="319D671E"/>
    <w:rsid w:val="327C2DF9"/>
    <w:rsid w:val="329B0E37"/>
    <w:rsid w:val="333B7AD2"/>
    <w:rsid w:val="3381479C"/>
    <w:rsid w:val="37554894"/>
    <w:rsid w:val="3916459E"/>
    <w:rsid w:val="3F2A0A95"/>
    <w:rsid w:val="410633A1"/>
    <w:rsid w:val="47C84024"/>
    <w:rsid w:val="490162C2"/>
    <w:rsid w:val="4C650094"/>
    <w:rsid w:val="5CD03AC7"/>
    <w:rsid w:val="5E2D6537"/>
    <w:rsid w:val="5F4451D0"/>
    <w:rsid w:val="65273CE0"/>
    <w:rsid w:val="65B668C9"/>
    <w:rsid w:val="67C21D51"/>
    <w:rsid w:val="68A67612"/>
    <w:rsid w:val="6A58493C"/>
    <w:rsid w:val="6BC02799"/>
    <w:rsid w:val="6D4065BB"/>
    <w:rsid w:val="71A14E1B"/>
    <w:rsid w:val="72D41A69"/>
    <w:rsid w:val="7790366B"/>
    <w:rsid w:val="780B56E4"/>
    <w:rsid w:val="7A2045E0"/>
    <w:rsid w:val="7E5E1B1E"/>
    <w:rsid w:val="7E977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eastAsia="宋体" w:asciiTheme="minorAscii" w:hAnsiTheme="minorAscii" w:cstheme="minorBidi"/>
      <w:kern w:val="2"/>
      <w:sz w:val="24"/>
      <w:szCs w:val="22"/>
      <w:lang w:val="en-US" w:eastAsia="zh-CN" w:bidi="ar-SA"/>
    </w:rPr>
  </w:style>
  <w:style w:type="paragraph" w:styleId="2">
    <w:name w:val="heading 2"/>
    <w:next w:val="1"/>
    <w:link w:val="14"/>
    <w:unhideWhenUsed/>
    <w:qFormat/>
    <w:uiPriority w:val="9"/>
    <w:pPr>
      <w:keepNext/>
      <w:keepLines/>
      <w:numPr>
        <w:ilvl w:val="0"/>
        <w:numId w:val="1"/>
      </w:numPr>
      <w:spacing w:before="260" w:after="260" w:line="416" w:lineRule="auto"/>
      <w:outlineLvl w:val="1"/>
    </w:pPr>
    <w:rPr>
      <w:rFonts w:eastAsia="宋体" w:asciiTheme="majorHAnsi" w:hAnsiTheme="majorHAnsi" w:cstheme="majorBidi"/>
      <w:b/>
      <w:bCs/>
      <w:kern w:val="2"/>
      <w:sz w:val="28"/>
      <w:szCs w:val="32"/>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2"/>
    <w:unhideWhenUsed/>
    <w:qFormat/>
    <w:uiPriority w:val="99"/>
    <w:pPr>
      <w:tabs>
        <w:tab w:val="center" w:pos="4153"/>
        <w:tab w:val="right" w:pos="8306"/>
      </w:tabs>
      <w:snapToGrid w:val="0"/>
      <w:jc w:val="left"/>
    </w:pPr>
    <w:rPr>
      <w:sz w:val="18"/>
      <w:szCs w:val="18"/>
    </w:rPr>
  </w:style>
  <w:style w:type="paragraph" w:styleId="4">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5">
    <w:name w:val="Title"/>
    <w:basedOn w:val="1"/>
    <w:next w:val="1"/>
    <w:link w:val="13"/>
    <w:qFormat/>
    <w:uiPriority w:val="10"/>
    <w:pPr>
      <w:spacing w:before="240" w:after="60"/>
      <w:jc w:val="center"/>
      <w:outlineLvl w:val="0"/>
    </w:pPr>
    <w:rPr>
      <w:rFonts w:asciiTheme="majorHAnsi" w:hAnsiTheme="majorHAnsi" w:cstheme="majorBidi"/>
      <w:b/>
      <w:bCs/>
      <w:sz w:val="32"/>
      <w:szCs w:val="32"/>
    </w:rPr>
  </w:style>
  <w:style w:type="paragraph" w:customStyle="1" w:styleId="8">
    <w:name w:val="二级表格列项"/>
    <w:basedOn w:val="9"/>
    <w:link w:val="10"/>
    <w:qFormat/>
    <w:uiPriority w:val="0"/>
    <w:pPr>
      <w:numPr>
        <w:ilvl w:val="0"/>
        <w:numId w:val="2"/>
      </w:numPr>
      <w:tabs>
        <w:tab w:val="left" w:pos="454"/>
      </w:tabs>
      <w:ind w:left="400" w:firstLine="0"/>
      <w:jc w:val="left"/>
    </w:pPr>
    <w:rPr>
      <w:sz w:val="24"/>
    </w:rPr>
  </w:style>
  <w:style w:type="paragraph" w:styleId="9">
    <w:name w:val="List Paragraph"/>
    <w:basedOn w:val="1"/>
    <w:qFormat/>
    <w:uiPriority w:val="34"/>
    <w:pPr>
      <w:ind w:firstLine="420"/>
    </w:pPr>
  </w:style>
  <w:style w:type="character" w:customStyle="1" w:styleId="10">
    <w:name w:val="二级表格列项 字符"/>
    <w:basedOn w:val="7"/>
    <w:link w:val="8"/>
    <w:qFormat/>
    <w:uiPriority w:val="0"/>
    <w:rPr>
      <w:rFonts w:eastAsia="宋体"/>
      <w:sz w:val="24"/>
    </w:rPr>
  </w:style>
  <w:style w:type="character" w:customStyle="1" w:styleId="11">
    <w:name w:val="页眉 字符"/>
    <w:basedOn w:val="7"/>
    <w:link w:val="4"/>
    <w:qFormat/>
    <w:uiPriority w:val="99"/>
    <w:rPr>
      <w:sz w:val="18"/>
      <w:szCs w:val="18"/>
    </w:rPr>
  </w:style>
  <w:style w:type="character" w:customStyle="1" w:styleId="12">
    <w:name w:val="页脚 字符"/>
    <w:basedOn w:val="7"/>
    <w:link w:val="3"/>
    <w:qFormat/>
    <w:uiPriority w:val="99"/>
    <w:rPr>
      <w:sz w:val="18"/>
      <w:szCs w:val="18"/>
    </w:rPr>
  </w:style>
  <w:style w:type="character" w:customStyle="1" w:styleId="13">
    <w:name w:val="标题 字符"/>
    <w:basedOn w:val="7"/>
    <w:link w:val="5"/>
    <w:qFormat/>
    <w:uiPriority w:val="10"/>
    <w:rPr>
      <w:rFonts w:eastAsia="宋体" w:asciiTheme="majorHAnsi" w:hAnsiTheme="majorHAnsi" w:cstheme="majorBidi"/>
      <w:b/>
      <w:bCs/>
      <w:sz w:val="32"/>
      <w:szCs w:val="32"/>
    </w:rPr>
  </w:style>
  <w:style w:type="character" w:customStyle="1" w:styleId="14">
    <w:name w:val="标题 2 字符"/>
    <w:basedOn w:val="7"/>
    <w:link w:val="2"/>
    <w:qFormat/>
    <w:uiPriority w:val="9"/>
    <w:rPr>
      <w:rFonts w:eastAsia="宋体" w:asciiTheme="majorHAnsi" w:hAnsiTheme="majorHAnsi" w:cstheme="majorBidi"/>
      <w:b/>
      <w:bCs/>
      <w:sz w:val="28"/>
      <w:szCs w:val="32"/>
    </w:rPr>
  </w:style>
  <w:style w:type="paragraph" w:customStyle="1" w:styleId="15">
    <w:name w:val="样式-题注，图."/>
    <w:next w:val="9"/>
    <w:qFormat/>
    <w:uiPriority w:val="0"/>
    <w:pPr>
      <w:numPr>
        <w:ilvl w:val="0"/>
        <w:numId w:val="3"/>
      </w:numPr>
      <w:autoSpaceDE w:val="0"/>
      <w:autoSpaceDN w:val="0"/>
      <w:spacing w:after="50" w:afterLines="50" w:line="300" w:lineRule="auto"/>
      <w:jc w:val="center"/>
    </w:pPr>
    <w:rPr>
      <w:rFonts w:ascii="Times New Roman" w:hAnsi="Times New Roman" w:eastAsia="宋体" w:cs="Times New Roman"/>
      <w:b/>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emf"/><Relationship Id="rId4" Type="http://schemas.openxmlformats.org/officeDocument/2006/relationships/endnotes" Target="endnotes.xml"/><Relationship Id="rId39" Type="http://schemas.openxmlformats.org/officeDocument/2006/relationships/oleObject" Target="embeddings/oleObject13.bin"/><Relationship Id="rId38" Type="http://schemas.openxmlformats.org/officeDocument/2006/relationships/image" Target="media/image15.emf"/><Relationship Id="rId37" Type="http://schemas.openxmlformats.org/officeDocument/2006/relationships/oleObject" Target="embeddings/oleObject12.bin"/><Relationship Id="rId36" Type="http://schemas.openxmlformats.org/officeDocument/2006/relationships/image" Target="media/image14.emf"/><Relationship Id="rId35" Type="http://schemas.openxmlformats.org/officeDocument/2006/relationships/oleObject" Target="embeddings/oleObject11.bin"/><Relationship Id="rId34" Type="http://schemas.openxmlformats.org/officeDocument/2006/relationships/image" Target="media/image13.emf"/><Relationship Id="rId33" Type="http://schemas.openxmlformats.org/officeDocument/2006/relationships/oleObject" Target="embeddings/oleObject10.bin"/><Relationship Id="rId32" Type="http://schemas.openxmlformats.org/officeDocument/2006/relationships/image" Target="media/image12.emf"/><Relationship Id="rId31" Type="http://schemas.openxmlformats.org/officeDocument/2006/relationships/oleObject" Target="embeddings/oleObject9.bin"/><Relationship Id="rId30" Type="http://schemas.openxmlformats.org/officeDocument/2006/relationships/image" Target="media/image11.emf"/><Relationship Id="rId3" Type="http://schemas.openxmlformats.org/officeDocument/2006/relationships/footnotes" Target="footnotes.xml"/><Relationship Id="rId29" Type="http://schemas.openxmlformats.org/officeDocument/2006/relationships/oleObject" Target="embeddings/oleObject8.bin"/><Relationship Id="rId28" Type="http://schemas.openxmlformats.org/officeDocument/2006/relationships/image" Target="media/image10.emf"/><Relationship Id="rId27" Type="http://schemas.openxmlformats.org/officeDocument/2006/relationships/oleObject" Target="embeddings/oleObject7.bin"/><Relationship Id="rId26" Type="http://schemas.openxmlformats.org/officeDocument/2006/relationships/image" Target="media/image9.emf"/><Relationship Id="rId25" Type="http://schemas.openxmlformats.org/officeDocument/2006/relationships/oleObject" Target="embeddings/oleObject6.bin"/><Relationship Id="rId24" Type="http://schemas.openxmlformats.org/officeDocument/2006/relationships/image" Target="media/image8.emf"/><Relationship Id="rId23" Type="http://schemas.openxmlformats.org/officeDocument/2006/relationships/oleObject" Target="embeddings/oleObject5.bin"/><Relationship Id="rId22" Type="http://schemas.openxmlformats.org/officeDocument/2006/relationships/image" Target="media/image7.emf"/><Relationship Id="rId21" Type="http://schemas.openxmlformats.org/officeDocument/2006/relationships/oleObject" Target="embeddings/oleObject4.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5.emf"/><Relationship Id="rId17" Type="http://schemas.openxmlformats.org/officeDocument/2006/relationships/oleObject" Target="embeddings/oleObject2.bin"/><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emf"/><Relationship Id="rId12" Type="http://schemas.openxmlformats.org/officeDocument/2006/relationships/oleObject" Target="embeddings/oleObject1.bin"/><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柏林">
  <a:themeElements>
    <a:clrScheme name="柏林">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柏林">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柏林">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Windows User</Company>
  <Pages>16</Pages>
  <Words>1880</Words>
  <Characters>2391</Characters>
  <Lines>62</Lines>
  <Paragraphs>68</Paragraphs>
  <TotalTime>1</TotalTime>
  <ScaleCrop>false</ScaleCrop>
  <LinksUpToDate>false</LinksUpToDate>
  <CharactersWithSpaces>2419</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2021-01-20T13:32:00Z</dcterms:created>
  <dc:creator>Windows User</dc:creator>
  <cp:lastModifiedBy>Administrator</cp:lastModifiedBy>
  <dcterms:modified xsi:type="dcterms:W3CDTF">2023-01-10T06:57:45Z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4CCCFC618D54465CAEF26717EB657737</vt:lpwstr>
  </property>
</Properties>
</file>